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2168" w:firstLineChars="600"/>
        <w:jc w:val="left"/>
        <w:rPr>
          <w:rFonts w:ascii="宋体" w:hAnsi="宋体" w:eastAsia="宋体" w:cs="Times New Roman"/>
          <w:b/>
          <w:szCs w:val="24"/>
        </w:rPr>
      </w:pPr>
      <w:r>
        <w:rPr>
          <w:rFonts w:hint="eastAsia" w:ascii="Times New Roman" w:hAnsi="Times New Roman" w:eastAsia="方正小标宋简体" w:cs="Times New Roman"/>
          <w:b/>
          <w:sz w:val="36"/>
          <w:szCs w:val="36"/>
          <w:u w:val="none"/>
        </w:rPr>
        <w:t xml:space="preserve"> 会计</w:t>
      </w:r>
      <w:r>
        <w:rPr>
          <w:rFonts w:ascii="Times New Roman" w:hAnsi="Times New Roman" w:eastAsia="方正小标宋简体" w:cs="Times New Roman"/>
          <w:b/>
          <w:sz w:val="36"/>
          <w:szCs w:val="36"/>
          <w:u w:val="none"/>
        </w:rPr>
        <w:t>核算</w:t>
      </w:r>
      <w:r>
        <w:rPr>
          <w:rFonts w:ascii="Times New Roman" w:hAnsi="Times New Roman" w:eastAsia="方正小标宋简体" w:cs="Times New Roman"/>
          <w:b/>
          <w:sz w:val="36"/>
          <w:szCs w:val="36"/>
        </w:rPr>
        <w:t>岗位说明书</w:t>
      </w:r>
      <w:r>
        <w:rPr>
          <w:rFonts w:hint="eastAsia" w:ascii="宋体" w:hAnsi="宋体" w:eastAsia="宋体" w:cs="Times New Roman"/>
          <w:b/>
          <w:szCs w:val="24"/>
        </w:rPr>
        <w:t xml:space="preserve"> </w:t>
      </w:r>
    </w:p>
    <w:tbl>
      <w:tblPr>
        <w:tblStyle w:val="4"/>
        <w:tblW w:w="922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83"/>
        <w:gridCol w:w="766"/>
        <w:gridCol w:w="78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92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line="360" w:lineRule="auto"/>
              <w:ind w:left="210" w:leftChars="100"/>
              <w:rPr>
                <w:rFonts w:ascii="仿宋_GB2312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职</w:t>
            </w:r>
            <w:r>
              <w:rPr>
                <w:rFonts w:hint="eastAsia" w:ascii="宋体" w:hAnsi="宋体" w:eastAsia="宋体" w:cs="Times New Roman"/>
                <w:b/>
                <w:szCs w:val="24"/>
                <w:shd w:val="clear" w:color="FFFFFF" w:fill="auto"/>
              </w:rPr>
              <w:t>责与工作任务：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职</w:t>
            </w:r>
          </w:p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责</w:t>
            </w:r>
          </w:p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一</w:t>
            </w:r>
          </w:p>
        </w:tc>
        <w:tc>
          <w:tcPr>
            <w:tcW w:w="86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50"/>
              <w:rPr>
                <w:rFonts w:hint="eastAsia" w:ascii="仿宋_GB2312" w:hAnsi="宋体" w:eastAsia="华文细黑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华文细黑" w:hAnsi="华文细黑" w:eastAsia="华文细黑" w:cs="华文细黑"/>
                <w:szCs w:val="24"/>
              </w:rPr>
              <w:t>职责表述：</w:t>
            </w:r>
            <w:r>
              <w:rPr>
                <w:rFonts w:ascii="华文细黑" w:hAnsi="华文细黑" w:eastAsia="华文细黑" w:cs="华文细黑"/>
                <w:szCs w:val="24"/>
              </w:rPr>
              <w:t xml:space="preserve"> </w:t>
            </w:r>
            <w:r>
              <w:rPr>
                <w:rFonts w:hint="eastAsia" w:ascii="华文细黑" w:hAnsi="华文细黑" w:eastAsia="华文细黑" w:cs="华文细黑"/>
                <w:szCs w:val="24"/>
              </w:rPr>
              <w:t>财务</w:t>
            </w:r>
            <w:r>
              <w:rPr>
                <w:rFonts w:ascii="华文细黑" w:hAnsi="华文细黑" w:eastAsia="华文细黑" w:cs="华文细黑"/>
                <w:szCs w:val="24"/>
              </w:rPr>
              <w:t>报销</w:t>
            </w:r>
            <w:r>
              <w:rPr>
                <w:rFonts w:hint="eastAsia" w:ascii="华文细黑" w:hAnsi="华文细黑" w:eastAsia="华文细黑" w:cs="华文细黑"/>
                <w:szCs w:val="24"/>
              </w:rPr>
              <w:t>管理</w:t>
            </w:r>
            <w:r>
              <w:rPr>
                <w:rFonts w:hint="eastAsia" w:ascii="华文细黑" w:hAnsi="华文细黑" w:eastAsia="华文细黑" w:cs="华文细黑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76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4"/>
              </w:rPr>
              <w:t>工作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4"/>
              </w:rPr>
              <w:t>任务</w:t>
            </w:r>
          </w:p>
        </w:tc>
        <w:tc>
          <w:tcPr>
            <w:tcW w:w="78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认真学习贯彻执行有关财经政策，遵守和维护财经纪律，执行财务制度，实行会计监督，负责会计稽核。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7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630"/>
              </w:tabs>
              <w:snapToGrid w:val="0"/>
              <w:spacing w:before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8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对财务报销原始凭证的合法性、金额的正确性和手续的完备性等进行审核，对违反制度的收支不予办理，积极做好维护财经纪律的宣传工作。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职</w:t>
            </w:r>
          </w:p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责</w:t>
            </w:r>
          </w:p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二</w:t>
            </w:r>
          </w:p>
        </w:tc>
        <w:tc>
          <w:tcPr>
            <w:tcW w:w="86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50"/>
              <w:rPr>
                <w:rFonts w:hint="eastAsia" w:ascii="仿宋_GB2312" w:hAnsi="宋体" w:eastAsia="华文细黑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华文细黑" w:hAnsi="华文细黑" w:eastAsia="华文细黑" w:cs="华文细黑"/>
                <w:szCs w:val="24"/>
              </w:rPr>
              <w:t>职责表述：日常会计</w:t>
            </w:r>
            <w:r>
              <w:rPr>
                <w:rFonts w:ascii="华文细黑" w:hAnsi="华文细黑" w:eastAsia="华文细黑" w:cs="华文细黑"/>
                <w:szCs w:val="24"/>
              </w:rPr>
              <w:t>核算</w:t>
            </w:r>
            <w:r>
              <w:rPr>
                <w:rFonts w:hint="eastAsia" w:ascii="华文细黑" w:hAnsi="华文细黑" w:eastAsia="华文细黑" w:cs="华文细黑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76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4"/>
              </w:rPr>
              <w:t>工作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4"/>
              </w:rPr>
              <w:t>任务</w:t>
            </w:r>
          </w:p>
        </w:tc>
        <w:tc>
          <w:tcPr>
            <w:tcW w:w="78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按照会计制度和规定设置会计科目和会计账簿，每月及时处理会计账务，正确运用会计科目，会计信息核算真实完整。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7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630"/>
              </w:tabs>
              <w:snapToGrid w:val="0"/>
              <w:spacing w:before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8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月底与出纳对账，编制银行余额调节表，核查银行对账单。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职</w:t>
            </w:r>
          </w:p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责</w:t>
            </w:r>
          </w:p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三</w:t>
            </w:r>
          </w:p>
        </w:tc>
        <w:tc>
          <w:tcPr>
            <w:tcW w:w="86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156" w:beforeLines="50"/>
              <w:rPr>
                <w:rFonts w:hint="eastAsia" w:ascii="仿宋_GB2312" w:hAnsi="宋体" w:eastAsia="华文细黑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华文细黑" w:hAnsi="华文细黑" w:eastAsia="华文细黑" w:cs="华文细黑"/>
                <w:szCs w:val="24"/>
              </w:rPr>
              <w:t>职责表述：财务</w:t>
            </w:r>
            <w:r>
              <w:rPr>
                <w:rFonts w:ascii="华文细黑" w:hAnsi="华文细黑" w:eastAsia="华文细黑" w:cs="华文细黑"/>
                <w:szCs w:val="24"/>
              </w:rPr>
              <w:t>信息</w:t>
            </w:r>
            <w:r>
              <w:rPr>
                <w:rFonts w:hint="eastAsia" w:ascii="华文细黑" w:hAnsi="华文细黑" w:eastAsia="华文细黑" w:cs="华文细黑"/>
                <w:szCs w:val="24"/>
              </w:rPr>
              <w:t>维护</w:t>
            </w:r>
            <w:r>
              <w:rPr>
                <w:rFonts w:hint="eastAsia" w:ascii="华文细黑" w:hAnsi="华文细黑" w:eastAsia="华文细黑" w:cs="华文细黑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76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4"/>
              </w:rPr>
              <w:t>工作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4"/>
              </w:rPr>
              <w:t>任务</w:t>
            </w:r>
          </w:p>
        </w:tc>
        <w:tc>
          <w:tcPr>
            <w:tcW w:w="78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负责登记并及时更新维护总部资产、融资借款担保等各类台账信息。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7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8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按照集团财务信息化工作安排，定期按照各财务信息系统分配的职责权限，完成相关财务信息的初始录入与后续维护。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职</w:t>
            </w:r>
          </w:p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责</w:t>
            </w:r>
          </w:p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四</w:t>
            </w:r>
          </w:p>
        </w:tc>
        <w:tc>
          <w:tcPr>
            <w:tcW w:w="86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156" w:beforeLines="50"/>
              <w:rPr>
                <w:rFonts w:hint="eastAsia" w:ascii="仿宋_GB2312" w:hAnsi="宋体" w:eastAsia="华文细黑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华文细黑" w:hAnsi="华文细黑" w:eastAsia="华文细黑" w:cs="华文细黑"/>
                <w:szCs w:val="24"/>
              </w:rPr>
              <w:t>职责表述：期末</w:t>
            </w:r>
            <w:r>
              <w:rPr>
                <w:rFonts w:ascii="华文细黑" w:hAnsi="华文细黑" w:eastAsia="华文细黑" w:cs="华文细黑"/>
                <w:szCs w:val="24"/>
              </w:rPr>
              <w:t>对账</w:t>
            </w:r>
            <w:r>
              <w:rPr>
                <w:rFonts w:hint="eastAsia" w:ascii="华文细黑" w:hAnsi="华文细黑" w:eastAsia="华文细黑" w:cs="华文细黑"/>
                <w:szCs w:val="24"/>
              </w:rPr>
              <w:t>与盘点</w:t>
            </w:r>
            <w:r>
              <w:rPr>
                <w:rFonts w:hint="eastAsia" w:ascii="华文细黑" w:hAnsi="华文细黑" w:eastAsia="华文细黑" w:cs="华文细黑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76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4"/>
              </w:rPr>
              <w:t>工作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4"/>
              </w:rPr>
              <w:t>任务</w:t>
            </w:r>
          </w:p>
        </w:tc>
        <w:tc>
          <w:tcPr>
            <w:tcW w:w="78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及时做好往来款项的核算和清理。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7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8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定期核对业务数据和财务数据，发现差异及时处理。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7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8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协助集团实物资产管理部门定期做好资产清查与核对工作，做到账实相符。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职</w:t>
            </w:r>
          </w:p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责</w:t>
            </w:r>
          </w:p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五</w:t>
            </w:r>
          </w:p>
        </w:tc>
        <w:tc>
          <w:tcPr>
            <w:tcW w:w="86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156" w:beforeLines="50"/>
              <w:rPr>
                <w:rFonts w:hint="eastAsia" w:ascii="仿宋_GB2312" w:hAnsi="宋体" w:eastAsia="华文细黑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华文细黑" w:hAnsi="华文细黑" w:eastAsia="华文细黑" w:cs="华文细黑"/>
                <w:szCs w:val="24"/>
              </w:rPr>
              <w:t>职责表述：会计</w:t>
            </w:r>
            <w:r>
              <w:rPr>
                <w:rFonts w:ascii="华文细黑" w:hAnsi="华文细黑" w:eastAsia="华文细黑" w:cs="华文细黑"/>
                <w:szCs w:val="24"/>
              </w:rPr>
              <w:t>档案管理</w:t>
            </w:r>
            <w:r>
              <w:rPr>
                <w:rFonts w:hint="eastAsia" w:ascii="华文细黑" w:hAnsi="华文细黑" w:eastAsia="华文细黑" w:cs="华文细黑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76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 w:eastAsia="宋体" w:cs="Times New Roman"/>
                <w:b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4"/>
              </w:rPr>
              <w:t>工作</w:t>
            </w:r>
          </w:p>
          <w:p>
            <w:pPr>
              <w:adjustRightInd w:val="0"/>
              <w:snapToGrid w:val="0"/>
              <w:spacing w:line="160" w:lineRule="atLeas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4"/>
              </w:rPr>
              <w:t>任务</w:t>
            </w:r>
          </w:p>
        </w:tc>
        <w:tc>
          <w:tcPr>
            <w:tcW w:w="78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Cs w:val="24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Cs w:val="24"/>
              </w:rPr>
              <w:t>对会计凭证、账簿、报表和有关文件制度等会计资料定期分类装订立卷，妥善保管，负责会计档案的整理和移交。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7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8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Cs w:val="24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Cs w:val="24"/>
              </w:rPr>
              <w:t>整理重要业务档案资料，包括融资担保合同及相关财务凭证、股东借款合同等，做好电子档案资料与纸质资料的整理存档。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7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8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Cs w:val="24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Cs w:val="24"/>
              </w:rPr>
              <w:t>协助有关部门或上级单位对会计档案资料的查阅，做好查阅登记。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职</w:t>
            </w:r>
          </w:p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责</w:t>
            </w:r>
          </w:p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六</w:t>
            </w:r>
          </w:p>
        </w:tc>
        <w:tc>
          <w:tcPr>
            <w:tcW w:w="86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210" w:hanging="210" w:hangingChars="100"/>
              <w:jc w:val="left"/>
              <w:rPr>
                <w:rFonts w:hint="eastAsia" w:hAnsi="华文楷体" w:eastAsia="华文细黑" w:cs="Times New Roman" w:asciiTheme="majorHAnsi"/>
                <w:szCs w:val="24"/>
                <w:lang w:eastAsia="zh-CN"/>
              </w:rPr>
            </w:pPr>
            <w:r>
              <w:rPr>
                <w:rFonts w:hint="eastAsia" w:ascii="华文细黑" w:hAnsi="华文细黑" w:eastAsia="华文细黑" w:cs="华文细黑"/>
                <w:szCs w:val="24"/>
              </w:rPr>
              <w:t>职责表述：会计</w:t>
            </w:r>
            <w:r>
              <w:rPr>
                <w:rFonts w:ascii="华文细黑" w:hAnsi="华文细黑" w:eastAsia="华文细黑" w:cs="华文细黑"/>
                <w:szCs w:val="24"/>
              </w:rPr>
              <w:t>培训管理</w:t>
            </w:r>
            <w:r>
              <w:rPr>
                <w:rFonts w:hint="eastAsia" w:ascii="华文细黑" w:hAnsi="华文细黑" w:eastAsia="华文细黑" w:cs="华文细黑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76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4"/>
              </w:rPr>
              <w:t>工作</w:t>
            </w:r>
          </w:p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4"/>
              </w:rPr>
              <w:t>任务</w:t>
            </w:r>
          </w:p>
        </w:tc>
        <w:tc>
          <w:tcPr>
            <w:tcW w:w="78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Cs w:val="24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Cs w:val="24"/>
              </w:rPr>
              <w:t>按照集团提升会计人员工作能力的整体要求，收集集团内外各类培训信息，提出培训计划。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7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8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szCs w:val="24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Cs w:val="24"/>
              </w:rPr>
              <w:t>定期组织财务培训，完成包括会计人员继续教育在内的各类常规培训与专项培训工作。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职</w:t>
            </w:r>
          </w:p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责</w:t>
            </w:r>
          </w:p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七</w:t>
            </w:r>
          </w:p>
        </w:tc>
        <w:tc>
          <w:tcPr>
            <w:tcW w:w="86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156" w:beforeLines="50"/>
              <w:rPr>
                <w:rFonts w:hint="eastAsia" w:ascii="仿宋_GB2312" w:hAnsi="宋体" w:eastAsia="华文细黑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华文细黑" w:hAnsi="华文细黑" w:eastAsia="华文细黑" w:cs="华文细黑"/>
                <w:szCs w:val="24"/>
              </w:rPr>
              <w:t>职责表述：</w:t>
            </w:r>
            <w:r>
              <w:rPr>
                <w:rFonts w:ascii="华文细黑" w:hAnsi="华文细黑" w:eastAsia="华文细黑" w:cs="华文细黑"/>
                <w:szCs w:val="24"/>
              </w:rPr>
              <w:t xml:space="preserve"> </w:t>
            </w:r>
            <w:r>
              <w:rPr>
                <w:rFonts w:hint="eastAsia" w:ascii="华文细黑" w:hAnsi="华文细黑" w:eastAsia="华文细黑" w:cs="华文细黑"/>
                <w:szCs w:val="24"/>
                <w:lang w:eastAsia="zh-CN"/>
              </w:rPr>
              <w:t>总部财务预算管理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76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 w:eastAsia="宋体" w:cs="Times New Roman"/>
                <w:b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4"/>
              </w:rPr>
              <w:t>工作</w:t>
            </w:r>
          </w:p>
          <w:p>
            <w:pPr>
              <w:adjustRightInd w:val="0"/>
              <w:snapToGrid w:val="0"/>
              <w:spacing w:line="160" w:lineRule="atLeas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4"/>
              </w:rPr>
              <w:t>任务</w:t>
            </w:r>
          </w:p>
        </w:tc>
        <w:tc>
          <w:tcPr>
            <w:tcW w:w="78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Cs w:val="24"/>
                <w:lang w:eastAsia="zh-CN"/>
              </w:rPr>
              <w:t>.组织编制总部年度财务预算。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7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8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szCs w:val="24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Cs w:val="24"/>
              </w:rPr>
              <w:t>监督总部预算的执行情况，按要求编制各类管理报表，</w:t>
            </w:r>
            <w:r>
              <w:rPr>
                <w:rFonts w:hint="eastAsia" w:ascii="仿宋_GB2312" w:hAnsi="仿宋_GB2312" w:eastAsia="仿宋_GB2312" w:cs="仿宋_GB2312"/>
                <w:szCs w:val="24"/>
                <w:lang w:eastAsia="zh-CN"/>
              </w:rPr>
              <w:t>分析预算执行情况</w:t>
            </w:r>
            <w:r>
              <w:rPr>
                <w:rFonts w:hint="eastAsia" w:ascii="仿宋_GB2312" w:hAnsi="仿宋_GB2312" w:eastAsia="仿宋_GB2312" w:cs="仿宋_GB2312"/>
                <w:szCs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922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before="156" w:beforeLines="50" w:line="360" w:lineRule="auto"/>
              <w:ind w:left="210" w:leftChars="100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任职资格：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922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line="240" w:lineRule="auto"/>
              <w:ind w:left="210" w:leftChars="100"/>
              <w:textAlignment w:val="auto"/>
              <w:rPr>
                <w:rFonts w:hint="eastAsia" w:ascii="仿宋_GB2312" w:hAnsi="仿宋_GB2312" w:eastAsia="仿宋_GB2312" w:cs="仿宋_GB2312"/>
                <w:bCs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4"/>
              </w:rPr>
              <w:t>1.大学本科及以上学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Cs/>
                <w:szCs w:val="24"/>
              </w:rPr>
              <w:t>历；财务、会计、税务、审计类等相关专业；具有中级及以上会计专业技术职称</w:t>
            </w:r>
            <w:r>
              <w:rPr>
                <w:rFonts w:hint="eastAsia" w:ascii="仿宋_GB2312" w:hAnsi="仿宋_GB2312" w:eastAsia="仿宋_GB2312" w:cs="仿宋_GB2312"/>
                <w:bCs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szCs w:val="24"/>
              </w:rPr>
              <w:t>注册会计师资格优先</w:t>
            </w:r>
            <w:r>
              <w:rPr>
                <w:rFonts w:hint="eastAsia" w:ascii="仿宋_GB2312" w:hAnsi="仿宋_GB2312" w:eastAsia="仿宋_GB2312" w:cs="仿宋_GB2312"/>
                <w:bCs/>
                <w:szCs w:val="24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922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line="240" w:lineRule="auto"/>
              <w:ind w:left="210" w:leftChars="100"/>
              <w:textAlignment w:val="auto"/>
              <w:rPr>
                <w:rFonts w:hint="eastAsia" w:ascii="仿宋_GB2312" w:hAnsi="仿宋_GB2312" w:eastAsia="仿宋_GB2312" w:cs="仿宋_GB2312"/>
                <w:bCs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4"/>
              </w:rPr>
              <w:t>2.年龄35岁以内（特别优秀的可放宽年龄要求），要求</w:t>
            </w:r>
            <w:r>
              <w:rPr>
                <w:rFonts w:hint="eastAsia" w:ascii="仿宋_GB2312" w:hAnsi="仿宋_GB2312" w:eastAsia="仿宋_GB2312" w:cs="仿宋_GB2312"/>
                <w:bCs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Cs/>
                <w:szCs w:val="24"/>
              </w:rPr>
              <w:t>年以上相关岗位工作经验；熟悉</w:t>
            </w:r>
            <w:r>
              <w:rPr>
                <w:rFonts w:hint="eastAsia" w:ascii="仿宋_GB2312" w:hAnsi="仿宋_GB2312" w:eastAsia="仿宋_GB2312" w:cs="仿宋_GB2312"/>
                <w:bCs/>
                <w:szCs w:val="24"/>
                <w:lang w:eastAsia="zh-CN"/>
              </w:rPr>
              <w:t>会计准则、财务税务相关</w:t>
            </w:r>
            <w:r>
              <w:rPr>
                <w:rFonts w:hint="eastAsia" w:ascii="仿宋_GB2312" w:hAnsi="仿宋_GB2312" w:eastAsia="仿宋_GB2312" w:cs="仿宋_GB2312"/>
                <w:bCs/>
                <w:szCs w:val="24"/>
              </w:rPr>
              <w:t>国家法律</w:t>
            </w:r>
            <w:r>
              <w:rPr>
                <w:rFonts w:hint="eastAsia" w:ascii="仿宋_GB2312" w:hAnsi="仿宋_GB2312" w:eastAsia="仿宋_GB2312" w:cs="仿宋_GB2312"/>
                <w:bCs/>
                <w:szCs w:val="24"/>
                <w:lang w:eastAsia="zh-CN"/>
              </w:rPr>
              <w:t>法规及制度</w:t>
            </w:r>
            <w:r>
              <w:rPr>
                <w:rFonts w:hint="eastAsia" w:ascii="仿宋_GB2312" w:hAnsi="仿宋_GB2312" w:eastAsia="仿宋_GB2312" w:cs="仿宋_GB2312"/>
                <w:bCs/>
                <w:szCs w:val="24"/>
              </w:rPr>
              <w:t>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922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line="240" w:lineRule="auto"/>
              <w:ind w:left="210" w:leftChars="100"/>
              <w:textAlignment w:val="auto"/>
              <w:rPr>
                <w:rFonts w:hint="eastAsia" w:ascii="仿宋_GB2312" w:hAnsi="仿宋_GB2312" w:eastAsia="仿宋_GB2312" w:cs="仿宋_GB2312"/>
                <w:bCs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4"/>
              </w:rPr>
              <w:t>3.具备良好的沟通协调能力、抗压能力、团队合作能力和快速学习能力；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922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line="240" w:lineRule="auto"/>
              <w:ind w:left="210" w:leftChars="100"/>
              <w:textAlignment w:val="auto"/>
              <w:rPr>
                <w:rFonts w:hint="eastAsia" w:ascii="仿宋_GB2312" w:hAnsi="仿宋_GB2312" w:eastAsia="仿宋_GB2312" w:cs="仿宋_GB2312"/>
                <w:bCs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4"/>
              </w:rPr>
              <w:t>4.熟练应用</w:t>
            </w:r>
            <w:r>
              <w:rPr>
                <w:rFonts w:hint="eastAsia" w:ascii="仿宋_GB2312" w:hAnsi="仿宋_GB2312" w:eastAsia="仿宋_GB2312" w:cs="仿宋_GB2312"/>
                <w:bCs/>
                <w:szCs w:val="24"/>
                <w:lang w:val="en-US" w:eastAsia="zh-CN"/>
              </w:rPr>
              <w:t>SAP、</w:t>
            </w:r>
            <w:r>
              <w:rPr>
                <w:rFonts w:hint="eastAsia" w:ascii="仿宋_GB2312" w:hAnsi="仿宋_GB2312" w:eastAsia="仿宋_GB2312" w:cs="仿宋_GB2312"/>
                <w:bCs/>
                <w:szCs w:val="24"/>
              </w:rPr>
              <w:t>财务和办公软件</w:t>
            </w:r>
            <w:r>
              <w:rPr>
                <w:rFonts w:hint="eastAsia" w:ascii="仿宋_GB2312" w:hAnsi="仿宋_GB2312" w:eastAsia="仿宋_GB2312" w:cs="仿宋_GB2312"/>
                <w:bCs/>
                <w:szCs w:val="24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922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line="240" w:lineRule="auto"/>
              <w:ind w:left="210" w:leftChars="100"/>
              <w:textAlignment w:val="auto"/>
              <w:rPr>
                <w:rFonts w:hint="eastAsia" w:ascii="仿宋_GB2312" w:hAnsi="仿宋_GB2312" w:eastAsia="仿宋_GB2312" w:cs="仿宋_GB2312"/>
                <w:bCs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4"/>
              </w:rPr>
              <w:t>正直、敬业、责任心强、严谨踏实、工作仔细认真。</w:t>
            </w:r>
          </w:p>
        </w:tc>
      </w:tr>
    </w:tbl>
    <w:p>
      <w:pPr>
        <w:snapToGrid w:val="0"/>
        <w:spacing w:before="156" w:beforeLines="50"/>
        <w:rPr>
          <w:rFonts w:ascii="宋体" w:hAnsi="宋体" w:eastAsia="宋体" w:cs="Times New Roman"/>
          <w:b/>
          <w:szCs w:val="24"/>
        </w:rPr>
      </w:pPr>
    </w:p>
    <w:p>
      <w:pPr>
        <w:rPr>
          <w:rFonts w:ascii="仿宋_GB2312" w:hAnsi="Times New Roman" w:eastAsia="仿宋_GB2312" w:cs="Times New Roman"/>
          <w:sz w:val="24"/>
          <w:szCs w:val="24"/>
        </w:rPr>
      </w:pPr>
    </w:p>
    <w:p>
      <w:pPr>
        <w:rPr>
          <w:rFonts w:ascii="仿宋_GB2312" w:hAnsi="Times New Roman" w:eastAsia="仿宋_GB2312" w:cs="Times New Roman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974F"/>
    <w:multiLevelType w:val="singleLevel"/>
    <w:tmpl w:val="2DB4974F"/>
    <w:lvl w:ilvl="0" w:tentative="0">
      <w:start w:val="5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C9"/>
    <w:rsid w:val="00001292"/>
    <w:rsid w:val="00040AB1"/>
    <w:rsid w:val="000B62B4"/>
    <w:rsid w:val="000D793C"/>
    <w:rsid w:val="000E1C4D"/>
    <w:rsid w:val="000E251E"/>
    <w:rsid w:val="001156DA"/>
    <w:rsid w:val="001603C5"/>
    <w:rsid w:val="0020218B"/>
    <w:rsid w:val="002344F5"/>
    <w:rsid w:val="00266684"/>
    <w:rsid w:val="002B5479"/>
    <w:rsid w:val="00331570"/>
    <w:rsid w:val="00366A91"/>
    <w:rsid w:val="003810B0"/>
    <w:rsid w:val="003F2477"/>
    <w:rsid w:val="004225C9"/>
    <w:rsid w:val="00432829"/>
    <w:rsid w:val="00446977"/>
    <w:rsid w:val="00460334"/>
    <w:rsid w:val="00462386"/>
    <w:rsid w:val="00475F71"/>
    <w:rsid w:val="004C400D"/>
    <w:rsid w:val="0051102A"/>
    <w:rsid w:val="0052798B"/>
    <w:rsid w:val="00531A3D"/>
    <w:rsid w:val="00534CAA"/>
    <w:rsid w:val="00547F8E"/>
    <w:rsid w:val="0058460C"/>
    <w:rsid w:val="00597FE1"/>
    <w:rsid w:val="005C4D05"/>
    <w:rsid w:val="005E19F8"/>
    <w:rsid w:val="005F30C4"/>
    <w:rsid w:val="00623714"/>
    <w:rsid w:val="006768F9"/>
    <w:rsid w:val="006F3C99"/>
    <w:rsid w:val="00733B7B"/>
    <w:rsid w:val="00753670"/>
    <w:rsid w:val="00771D69"/>
    <w:rsid w:val="00790384"/>
    <w:rsid w:val="007A4C27"/>
    <w:rsid w:val="007B066E"/>
    <w:rsid w:val="0080170C"/>
    <w:rsid w:val="00821B58"/>
    <w:rsid w:val="0085341A"/>
    <w:rsid w:val="0086167E"/>
    <w:rsid w:val="009035CC"/>
    <w:rsid w:val="00907C30"/>
    <w:rsid w:val="00910635"/>
    <w:rsid w:val="00931610"/>
    <w:rsid w:val="0093391E"/>
    <w:rsid w:val="009D0BD0"/>
    <w:rsid w:val="009D2CB4"/>
    <w:rsid w:val="009E1C89"/>
    <w:rsid w:val="009F6F7A"/>
    <w:rsid w:val="00A2498D"/>
    <w:rsid w:val="00A30271"/>
    <w:rsid w:val="00B108C9"/>
    <w:rsid w:val="00B60937"/>
    <w:rsid w:val="00B923F7"/>
    <w:rsid w:val="00BA1AE4"/>
    <w:rsid w:val="00C13D95"/>
    <w:rsid w:val="00C810E4"/>
    <w:rsid w:val="00CB29A9"/>
    <w:rsid w:val="00CD529B"/>
    <w:rsid w:val="00D81D82"/>
    <w:rsid w:val="00DA535F"/>
    <w:rsid w:val="00E00138"/>
    <w:rsid w:val="00E161FE"/>
    <w:rsid w:val="00E30106"/>
    <w:rsid w:val="00E4322E"/>
    <w:rsid w:val="00E52133"/>
    <w:rsid w:val="00EB364F"/>
    <w:rsid w:val="00F31B5B"/>
    <w:rsid w:val="00F51FEC"/>
    <w:rsid w:val="00F75FD7"/>
    <w:rsid w:val="00F971B4"/>
    <w:rsid w:val="00FB40A5"/>
    <w:rsid w:val="00FB6E36"/>
    <w:rsid w:val="00FD12ED"/>
    <w:rsid w:val="00FF0FF7"/>
    <w:rsid w:val="0B8728EB"/>
    <w:rsid w:val="212F2BE4"/>
    <w:rsid w:val="26C9323E"/>
    <w:rsid w:val="2BCF4FD3"/>
    <w:rsid w:val="2F1C1E63"/>
    <w:rsid w:val="359A1F8B"/>
    <w:rsid w:val="35C121E1"/>
    <w:rsid w:val="39C15374"/>
    <w:rsid w:val="424A1396"/>
    <w:rsid w:val="428F66B7"/>
    <w:rsid w:val="43F65CA5"/>
    <w:rsid w:val="4406512D"/>
    <w:rsid w:val="45D408DF"/>
    <w:rsid w:val="48D02328"/>
    <w:rsid w:val="4A576667"/>
    <w:rsid w:val="4C521ACF"/>
    <w:rsid w:val="50686F08"/>
    <w:rsid w:val="53D02587"/>
    <w:rsid w:val="55C26C0F"/>
    <w:rsid w:val="5AD87349"/>
    <w:rsid w:val="5F9F23B2"/>
    <w:rsid w:val="635018FB"/>
    <w:rsid w:val="63846AFF"/>
    <w:rsid w:val="63BB2F86"/>
    <w:rsid w:val="6517142C"/>
    <w:rsid w:val="666609ED"/>
    <w:rsid w:val="669805A4"/>
    <w:rsid w:val="66F6456A"/>
    <w:rsid w:val="689D0F83"/>
    <w:rsid w:val="6C587936"/>
    <w:rsid w:val="6E242581"/>
    <w:rsid w:val="75DC36EF"/>
    <w:rsid w:val="75E75CC1"/>
    <w:rsid w:val="79767A22"/>
    <w:rsid w:val="799D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171</Words>
  <Characters>978</Characters>
  <Lines>8</Lines>
  <Paragraphs>2</Paragraphs>
  <TotalTime>17</TotalTime>
  <ScaleCrop>false</ScaleCrop>
  <LinksUpToDate>false</LinksUpToDate>
  <CharactersWithSpaces>1147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2017-06-05T07:30:00Z</dcterms:created>
  <dc:creator>admin</dc:creator>
  <cp:lastModifiedBy>伍珂</cp:lastModifiedBy>
  <cp:lastPrinted>2022-09-21T05:14:00Z</cp:lastPrinted>
  <dcterms:modified xsi:type="dcterms:W3CDTF">2022-09-21T06:41:08Z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